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2E40" w:rsidRDefault="007A2E40"/>
    <w:p w:rsidR="007A2E40" w:rsidRDefault="008523C3">
      <w:pPr>
        <w:rPr>
          <w:sz w:val="18"/>
          <w:szCs w:val="18"/>
        </w:rPr>
      </w:pPr>
      <w:r>
        <w:rPr>
          <w:sz w:val="18"/>
          <w:szCs w:val="18"/>
        </w:rPr>
        <w:t xml:space="preserve"> </w:t>
      </w:r>
    </w:p>
    <w:p w:rsidR="007A2E40" w:rsidRPr="008523C3" w:rsidRDefault="008523C3" w:rsidP="008523C3">
      <w:pPr>
        <w:pStyle w:val="p1"/>
        <w:rPr>
          <w:rFonts w:ascii="Times New Roman" w:hAnsi="Times New Roman"/>
          <w:sz w:val="24"/>
          <w:szCs w:val="24"/>
        </w:rPr>
      </w:pPr>
      <w:r w:rsidRPr="008523C3">
        <w:rPr>
          <w:rFonts w:ascii="Times New Roman" w:hAnsi="Times New Roman"/>
          <w:b/>
          <w:sz w:val="24"/>
          <w:szCs w:val="24"/>
        </w:rPr>
        <w:t>1. A pályázó neve:</w:t>
      </w:r>
      <w:r w:rsidRPr="008523C3">
        <w:rPr>
          <w:rFonts w:ascii="Times New Roman" w:hAnsi="Times New Roman"/>
          <w:sz w:val="24"/>
          <w:szCs w:val="24"/>
        </w:rPr>
        <w:t xml:space="preserve"> </w:t>
      </w:r>
      <w:r w:rsidRPr="008523C3">
        <w:rPr>
          <w:rFonts w:ascii="Times New Roman" w:hAnsi="Times New Roman"/>
          <w:sz w:val="24"/>
          <w:szCs w:val="24"/>
        </w:rPr>
        <w:t xml:space="preserve">dr. </w:t>
      </w:r>
      <w:proofErr w:type="spellStart"/>
      <w:r w:rsidRPr="008523C3">
        <w:rPr>
          <w:rFonts w:ascii="Times New Roman" w:hAnsi="Times New Roman"/>
          <w:sz w:val="24"/>
          <w:szCs w:val="24"/>
        </w:rPr>
        <w:t>Michailovits</w:t>
      </w:r>
      <w:proofErr w:type="spellEnd"/>
      <w:r w:rsidRPr="008523C3">
        <w:rPr>
          <w:rFonts w:ascii="Times New Roman" w:hAnsi="Times New Roman"/>
          <w:sz w:val="24"/>
          <w:szCs w:val="24"/>
        </w:rPr>
        <w:t xml:space="preserve"> Georgina Klára</w:t>
      </w:r>
    </w:p>
    <w:p w:rsidR="008523C3" w:rsidRPr="008523C3" w:rsidRDefault="008523C3">
      <w:pPr>
        <w:rPr>
          <w:rFonts w:ascii="Times New Roman" w:hAnsi="Times New Roman" w:cs="Times New Roman"/>
          <w:sz w:val="24"/>
          <w:szCs w:val="24"/>
        </w:rPr>
      </w:pPr>
      <w:r w:rsidRPr="008523C3">
        <w:rPr>
          <w:rFonts w:ascii="Times New Roman" w:hAnsi="Times New Roman" w:cs="Times New Roman"/>
          <w:b/>
          <w:sz w:val="24"/>
          <w:szCs w:val="24"/>
        </w:rPr>
        <w:t>2. Elfogadott előadáskivonat/poszter címe:</w:t>
      </w:r>
      <w:r w:rsidRPr="008523C3">
        <w:rPr>
          <w:rFonts w:ascii="Times New Roman" w:hAnsi="Times New Roman" w:cs="Times New Roman"/>
          <w:sz w:val="24"/>
          <w:szCs w:val="24"/>
        </w:rPr>
        <w:t xml:space="preserve"> </w:t>
      </w:r>
      <w:r w:rsidRPr="008523C3">
        <w:rPr>
          <w:rFonts w:ascii="Times New Roman" w:hAnsi="Times New Roman" w:cs="Times New Roman"/>
          <w:sz w:val="24"/>
          <w:szCs w:val="24"/>
          <w:lang w:val="en-US"/>
        </w:rPr>
        <w:t>Replantation of a periodontally hopeless tooth</w:t>
      </w:r>
      <w:r w:rsidRPr="008523C3">
        <w:rPr>
          <w:rFonts w:ascii="Times New Roman" w:hAnsi="Times New Roman" w:cs="Times New Roman"/>
          <w:sz w:val="24"/>
          <w:szCs w:val="24"/>
        </w:rPr>
        <w:t xml:space="preserve"> </w:t>
      </w:r>
    </w:p>
    <w:p w:rsidR="008523C3" w:rsidRPr="008523C3" w:rsidRDefault="008523C3">
      <w:pPr>
        <w:rPr>
          <w:rFonts w:ascii="Times New Roman" w:hAnsi="Times New Roman" w:cs="Times New Roman"/>
          <w:i/>
          <w:sz w:val="24"/>
          <w:szCs w:val="24"/>
        </w:rPr>
      </w:pPr>
      <w:r w:rsidRPr="008523C3">
        <w:rPr>
          <w:rFonts w:ascii="Times New Roman" w:hAnsi="Times New Roman" w:cs="Times New Roman"/>
          <w:b/>
          <w:sz w:val="24"/>
          <w:szCs w:val="24"/>
        </w:rPr>
        <w:t>3.</w:t>
      </w:r>
      <w:r w:rsidRPr="008523C3">
        <w:rPr>
          <w:rFonts w:ascii="Times New Roman" w:hAnsi="Times New Roman" w:cs="Times New Roman"/>
          <w:b/>
          <w:sz w:val="24"/>
          <w:szCs w:val="24"/>
        </w:rPr>
        <w:t xml:space="preserve"> Előadáskivonatot/posztert befogadó konferencia adatai:</w:t>
      </w:r>
      <w:r w:rsidRPr="008523C3">
        <w:rPr>
          <w:rFonts w:ascii="Times New Roman" w:hAnsi="Times New Roman" w:cs="Times New Roman"/>
          <w:sz w:val="24"/>
          <w:szCs w:val="24"/>
        </w:rPr>
        <w:t xml:space="preserve"> </w:t>
      </w:r>
      <w:r w:rsidRPr="008523C3">
        <w:rPr>
          <w:rFonts w:ascii="Times New Roman" w:hAnsi="Times New Roman" w:cs="Times New Roman"/>
          <w:sz w:val="24"/>
          <w:szCs w:val="24"/>
        </w:rPr>
        <w:t xml:space="preserve">: Europerio 9 </w:t>
      </w:r>
      <w:r w:rsidRPr="008523C3">
        <w:rPr>
          <w:rFonts w:ascii="Times New Roman" w:hAnsi="Times New Roman" w:cs="Times New Roman"/>
          <w:i/>
          <w:sz w:val="24"/>
          <w:szCs w:val="24"/>
        </w:rPr>
        <w:t>Amsterdam 2018.  jún. 20-23.</w:t>
      </w:r>
    </w:p>
    <w:p w:rsidR="007A2E40" w:rsidRPr="008523C3" w:rsidRDefault="008523C3">
      <w:pPr>
        <w:rPr>
          <w:rFonts w:ascii="Times New Roman" w:hAnsi="Times New Roman" w:cs="Times New Roman"/>
          <w:b/>
          <w:sz w:val="24"/>
          <w:szCs w:val="24"/>
        </w:rPr>
      </w:pPr>
      <w:r w:rsidRPr="008523C3">
        <w:rPr>
          <w:rFonts w:ascii="Times New Roman" w:hAnsi="Times New Roman" w:cs="Times New Roman"/>
          <w:b/>
          <w:sz w:val="24"/>
          <w:szCs w:val="24"/>
        </w:rPr>
        <w:t>4. Elfogadott előadás kivona</w:t>
      </w:r>
      <w:r w:rsidRPr="008523C3">
        <w:rPr>
          <w:rFonts w:ascii="Times New Roman" w:hAnsi="Times New Roman" w:cs="Times New Roman"/>
          <w:b/>
          <w:sz w:val="24"/>
          <w:szCs w:val="24"/>
        </w:rPr>
        <w:t>t:</w:t>
      </w:r>
    </w:p>
    <w:p w:rsidR="008523C3" w:rsidRPr="008523C3" w:rsidRDefault="008523C3" w:rsidP="008523C3">
      <w:pPr>
        <w:jc w:val="both"/>
        <w:rPr>
          <w:rFonts w:ascii="Times New Roman" w:hAnsi="Times New Roman" w:cs="Times New Roman"/>
          <w:sz w:val="24"/>
          <w:szCs w:val="24"/>
          <w:lang w:val="en-US"/>
        </w:rPr>
      </w:pPr>
      <w:r w:rsidRPr="008523C3">
        <w:rPr>
          <w:rFonts w:ascii="Times New Roman" w:hAnsi="Times New Roman" w:cs="Times New Roman"/>
          <w:sz w:val="24"/>
          <w:szCs w:val="24"/>
          <w:lang w:val="en-US"/>
        </w:rPr>
        <w:t>Replantation of a periodontally hopeless tooth</w:t>
      </w:r>
    </w:p>
    <w:p w:rsidR="008523C3" w:rsidRPr="008523C3" w:rsidRDefault="008523C3" w:rsidP="008523C3">
      <w:pPr>
        <w:jc w:val="both"/>
        <w:rPr>
          <w:rFonts w:ascii="Times New Roman" w:hAnsi="Times New Roman" w:cs="Times New Roman"/>
          <w:sz w:val="24"/>
          <w:szCs w:val="24"/>
          <w:lang w:val="en-US"/>
        </w:rPr>
      </w:pPr>
      <w:r w:rsidRPr="008523C3">
        <w:rPr>
          <w:rFonts w:ascii="Times New Roman" w:hAnsi="Times New Roman" w:cs="Times New Roman"/>
          <w:sz w:val="24"/>
          <w:szCs w:val="24"/>
          <w:lang w:val="en-US"/>
        </w:rPr>
        <w:t>Clinical report</w:t>
      </w:r>
    </w:p>
    <w:p w:rsidR="008523C3" w:rsidRPr="008523C3" w:rsidRDefault="008523C3" w:rsidP="008523C3">
      <w:pPr>
        <w:jc w:val="both"/>
        <w:rPr>
          <w:rFonts w:ascii="Times New Roman" w:hAnsi="Times New Roman" w:cs="Times New Roman"/>
          <w:color w:val="7030A0"/>
          <w:sz w:val="24"/>
          <w:szCs w:val="24"/>
          <w:lang w:val="en-US"/>
        </w:rPr>
      </w:pPr>
      <w:r w:rsidRPr="008523C3">
        <w:rPr>
          <w:rFonts w:ascii="Times New Roman" w:hAnsi="Times New Roman" w:cs="Times New Roman"/>
          <w:color w:val="000000" w:themeColor="text1"/>
          <w:sz w:val="24"/>
          <w:szCs w:val="24"/>
          <w:lang w:val="en-US"/>
        </w:rPr>
        <w:t>G. Michailovits</w:t>
      </w:r>
      <w:r w:rsidRPr="008523C3">
        <w:rPr>
          <w:rFonts w:ascii="Times New Roman" w:hAnsi="Times New Roman" w:cs="Times New Roman"/>
          <w:color w:val="000000" w:themeColor="text1"/>
          <w:sz w:val="24"/>
          <w:szCs w:val="24"/>
          <w:vertAlign w:val="superscript"/>
          <w:lang w:val="en-US"/>
        </w:rPr>
        <w:t>1</w:t>
      </w:r>
      <w:r w:rsidRPr="008523C3">
        <w:rPr>
          <w:rFonts w:ascii="Times New Roman" w:hAnsi="Times New Roman" w:cs="Times New Roman"/>
          <w:color w:val="000000" w:themeColor="text1"/>
          <w:sz w:val="24"/>
          <w:szCs w:val="24"/>
          <w:lang w:val="en-US"/>
        </w:rPr>
        <w:t>, B. Molnár</w:t>
      </w:r>
      <w:r w:rsidRPr="008523C3">
        <w:rPr>
          <w:rFonts w:ascii="Times New Roman" w:hAnsi="Times New Roman" w:cs="Times New Roman"/>
          <w:color w:val="000000" w:themeColor="text1"/>
          <w:sz w:val="24"/>
          <w:szCs w:val="24"/>
          <w:vertAlign w:val="superscript"/>
          <w:lang w:val="en-US"/>
        </w:rPr>
        <w:t>1</w:t>
      </w:r>
      <w:r w:rsidRPr="008523C3">
        <w:rPr>
          <w:rFonts w:ascii="Times New Roman" w:hAnsi="Times New Roman" w:cs="Times New Roman"/>
          <w:color w:val="000000" w:themeColor="text1"/>
          <w:sz w:val="24"/>
          <w:szCs w:val="24"/>
          <w:lang w:val="en-US"/>
        </w:rPr>
        <w:t>, P. Windisch</w:t>
      </w:r>
      <w:r w:rsidRPr="008523C3">
        <w:rPr>
          <w:rFonts w:ascii="Times New Roman" w:hAnsi="Times New Roman" w:cs="Times New Roman"/>
          <w:color w:val="000000" w:themeColor="text1"/>
          <w:sz w:val="24"/>
          <w:szCs w:val="24"/>
          <w:vertAlign w:val="superscript"/>
          <w:lang w:val="en-US"/>
        </w:rPr>
        <w:t>1</w:t>
      </w:r>
    </w:p>
    <w:p w:rsidR="008523C3" w:rsidRPr="008523C3" w:rsidRDefault="008523C3" w:rsidP="008523C3">
      <w:pPr>
        <w:jc w:val="both"/>
        <w:rPr>
          <w:rFonts w:ascii="Times New Roman" w:hAnsi="Times New Roman" w:cs="Times New Roman"/>
          <w:sz w:val="24"/>
          <w:szCs w:val="24"/>
          <w:lang w:val="en-US"/>
        </w:rPr>
      </w:pPr>
      <w:r w:rsidRPr="008523C3">
        <w:rPr>
          <w:rFonts w:ascii="Times New Roman" w:hAnsi="Times New Roman" w:cs="Times New Roman"/>
          <w:sz w:val="24"/>
          <w:szCs w:val="24"/>
          <w:vertAlign w:val="superscript"/>
          <w:lang w:val="en-US"/>
        </w:rPr>
        <w:t>1</w:t>
      </w:r>
      <w:r w:rsidRPr="008523C3">
        <w:rPr>
          <w:rFonts w:ascii="Times New Roman" w:hAnsi="Times New Roman" w:cs="Times New Roman"/>
          <w:sz w:val="24"/>
          <w:szCs w:val="24"/>
          <w:lang w:val="en-US"/>
        </w:rPr>
        <w:t xml:space="preserve"> Department of Periodontology, Semmelweis University</w:t>
      </w:r>
    </w:p>
    <w:p w:rsidR="008523C3" w:rsidRPr="008523C3" w:rsidRDefault="008523C3" w:rsidP="008523C3">
      <w:pPr>
        <w:jc w:val="both"/>
        <w:rPr>
          <w:rFonts w:ascii="Times New Roman" w:hAnsi="Times New Roman" w:cs="Times New Roman"/>
          <w:sz w:val="24"/>
          <w:szCs w:val="24"/>
          <w:lang w:val="en-US"/>
        </w:rPr>
      </w:pPr>
    </w:p>
    <w:p w:rsidR="008523C3" w:rsidRPr="008523C3" w:rsidRDefault="008523C3" w:rsidP="008523C3">
      <w:pPr>
        <w:jc w:val="both"/>
        <w:rPr>
          <w:rFonts w:ascii="Times New Roman" w:hAnsi="Times New Roman" w:cs="Times New Roman"/>
          <w:sz w:val="24"/>
          <w:szCs w:val="24"/>
          <w:u w:val="single"/>
          <w:lang w:val="en-US"/>
        </w:rPr>
      </w:pPr>
      <w:r w:rsidRPr="008523C3">
        <w:rPr>
          <w:rFonts w:ascii="Times New Roman" w:hAnsi="Times New Roman" w:cs="Times New Roman"/>
          <w:sz w:val="24"/>
          <w:szCs w:val="24"/>
          <w:u w:val="single"/>
          <w:lang w:val="en-US"/>
        </w:rPr>
        <w:t>Background</w:t>
      </w:r>
    </w:p>
    <w:p w:rsidR="008523C3" w:rsidRPr="008523C3" w:rsidRDefault="008523C3" w:rsidP="008523C3">
      <w:pPr>
        <w:jc w:val="both"/>
        <w:rPr>
          <w:rFonts w:ascii="Times New Roman" w:hAnsi="Times New Roman" w:cs="Times New Roman"/>
          <w:sz w:val="24"/>
          <w:szCs w:val="24"/>
          <w:lang w:val="en-US"/>
        </w:rPr>
      </w:pPr>
      <w:r w:rsidRPr="008523C3">
        <w:rPr>
          <w:rFonts w:ascii="Times New Roman" w:hAnsi="Times New Roman" w:cs="Times New Roman"/>
          <w:sz w:val="24"/>
          <w:szCs w:val="24"/>
          <w:lang w:val="en-US"/>
        </w:rPr>
        <w:t xml:space="preserve">Treatment of generalized aggressive periodontitis represents a challenge in periodontal therapy, especially </w:t>
      </w:r>
      <w:proofErr w:type="gramStart"/>
      <w:r w:rsidRPr="008523C3">
        <w:rPr>
          <w:rFonts w:ascii="Times New Roman" w:hAnsi="Times New Roman" w:cs="Times New Roman"/>
          <w:sz w:val="24"/>
          <w:szCs w:val="24"/>
          <w:lang w:val="en-US"/>
        </w:rPr>
        <w:t>with regard to</w:t>
      </w:r>
      <w:proofErr w:type="gramEnd"/>
      <w:r w:rsidRPr="008523C3">
        <w:rPr>
          <w:rFonts w:ascii="Times New Roman" w:hAnsi="Times New Roman" w:cs="Times New Roman"/>
          <w:sz w:val="24"/>
          <w:szCs w:val="24"/>
          <w:lang w:val="en-US"/>
        </w:rPr>
        <w:t xml:space="preserve"> the treatment of hopeless teeth. Establishing new </w:t>
      </w:r>
      <w:proofErr w:type="spellStart"/>
      <w:r w:rsidRPr="008523C3">
        <w:rPr>
          <w:rFonts w:ascii="Times New Roman" w:hAnsi="Times New Roman" w:cs="Times New Roman"/>
          <w:sz w:val="24"/>
          <w:szCs w:val="24"/>
          <w:lang w:val="en-US"/>
        </w:rPr>
        <w:t>therapeutical</w:t>
      </w:r>
      <w:proofErr w:type="spellEnd"/>
      <w:r w:rsidRPr="008523C3">
        <w:rPr>
          <w:rFonts w:ascii="Times New Roman" w:hAnsi="Times New Roman" w:cs="Times New Roman"/>
          <w:sz w:val="24"/>
          <w:szCs w:val="24"/>
          <w:lang w:val="en-US"/>
        </w:rPr>
        <w:t xml:space="preserve"> standards to extend treatment options aiming at tooth maintenance despite advanced periodontal attachment loss is crucial. This may decrease the number of implants placed in patients with elevated risk for periimplantitis. Our aim was to present a novel treatment approach to save teeth, which are scheduled for extraction according to current treatment standards.</w:t>
      </w:r>
    </w:p>
    <w:p w:rsidR="008523C3" w:rsidRPr="008523C3" w:rsidRDefault="008523C3" w:rsidP="008523C3">
      <w:pPr>
        <w:jc w:val="both"/>
        <w:rPr>
          <w:rFonts w:ascii="Times New Roman" w:hAnsi="Times New Roman" w:cs="Times New Roman"/>
          <w:sz w:val="24"/>
          <w:szCs w:val="24"/>
          <w:u w:val="single"/>
          <w:lang w:val="en-US"/>
        </w:rPr>
      </w:pPr>
      <w:r w:rsidRPr="008523C3">
        <w:rPr>
          <w:rFonts w:ascii="Times New Roman" w:hAnsi="Times New Roman" w:cs="Times New Roman"/>
          <w:sz w:val="24"/>
          <w:szCs w:val="24"/>
          <w:u w:val="single"/>
          <w:lang w:val="en-US"/>
        </w:rPr>
        <w:t>Treatment</w:t>
      </w:r>
    </w:p>
    <w:p w:rsidR="008523C3" w:rsidRPr="008523C3" w:rsidRDefault="008523C3" w:rsidP="008523C3">
      <w:pPr>
        <w:jc w:val="both"/>
        <w:rPr>
          <w:rFonts w:ascii="Times New Roman" w:hAnsi="Times New Roman" w:cs="Times New Roman"/>
          <w:color w:val="000000" w:themeColor="text1"/>
          <w:sz w:val="24"/>
          <w:szCs w:val="24"/>
          <w:lang w:val="en-US"/>
        </w:rPr>
      </w:pPr>
      <w:r w:rsidRPr="008523C3">
        <w:rPr>
          <w:rFonts w:ascii="Times New Roman" w:hAnsi="Times New Roman" w:cs="Times New Roman"/>
          <w:sz w:val="24"/>
          <w:szCs w:val="24"/>
          <w:lang w:val="en-US"/>
        </w:rPr>
        <w:t xml:space="preserve">A 48 years old male patient was presented with severe generalized aggressive periodontitis. After completion of initial cause related therapy, all hopeless teeth were removed. At tooth Nr. 11, which was also indicated for extraction, a 15 mm deep periodontal pocket was detected and an </w:t>
      </w:r>
      <w:proofErr w:type="spellStart"/>
      <w:r w:rsidRPr="008523C3">
        <w:rPr>
          <w:rFonts w:ascii="Times New Roman" w:hAnsi="Times New Roman" w:cs="Times New Roman"/>
          <w:sz w:val="24"/>
          <w:szCs w:val="24"/>
          <w:lang w:val="en-US"/>
        </w:rPr>
        <w:t>intrabony</w:t>
      </w:r>
      <w:proofErr w:type="spellEnd"/>
      <w:r w:rsidRPr="008523C3">
        <w:rPr>
          <w:rFonts w:ascii="Times New Roman" w:hAnsi="Times New Roman" w:cs="Times New Roman"/>
          <w:sz w:val="24"/>
          <w:szCs w:val="24"/>
          <w:lang w:val="en-US"/>
        </w:rPr>
        <w:t xml:space="preserve"> defect was shown radiographically. Root canal treatment was performed prior to extraction. After gentle extraction the tooth was placed into physiological saline </w:t>
      </w:r>
      <w:r w:rsidRPr="008523C3">
        <w:rPr>
          <w:rFonts w:ascii="Times New Roman" w:hAnsi="Times New Roman" w:cs="Times New Roman"/>
          <w:color w:val="000000" w:themeColor="text1"/>
          <w:sz w:val="24"/>
          <w:szCs w:val="24"/>
          <w:lang w:val="en-US"/>
        </w:rPr>
        <w:t>solution</w:t>
      </w:r>
      <w:r w:rsidRPr="008523C3">
        <w:rPr>
          <w:rFonts w:ascii="Times New Roman" w:hAnsi="Times New Roman" w:cs="Times New Roman"/>
          <w:sz w:val="24"/>
          <w:szCs w:val="24"/>
          <w:lang w:val="en-US"/>
        </w:rPr>
        <w:t xml:space="preserve">. Alveolar ridge preservation with a modified guided bone regeneration approach utilizing a long term resorbable membrane (Lamina, </w:t>
      </w:r>
      <w:proofErr w:type="spellStart"/>
      <w:r w:rsidRPr="008523C3">
        <w:rPr>
          <w:rFonts w:ascii="Times New Roman" w:hAnsi="Times New Roman" w:cs="Times New Roman"/>
          <w:sz w:val="24"/>
          <w:szCs w:val="24"/>
          <w:lang w:val="en-US"/>
        </w:rPr>
        <w:t>Tecnoss</w:t>
      </w:r>
      <w:proofErr w:type="spellEnd"/>
      <w:r w:rsidRPr="008523C3">
        <w:rPr>
          <w:rFonts w:ascii="Times New Roman" w:hAnsi="Times New Roman" w:cs="Times New Roman"/>
          <w:sz w:val="24"/>
          <w:szCs w:val="24"/>
          <w:lang w:val="en-US"/>
        </w:rPr>
        <w:t xml:space="preserve">, Italy) and simultaneous connective tissue grafting was performed. </w:t>
      </w:r>
      <w:r w:rsidRPr="008523C3">
        <w:rPr>
          <w:rFonts w:ascii="Times New Roman" w:hAnsi="Times New Roman" w:cs="Times New Roman"/>
          <w:color w:val="000000" w:themeColor="text1"/>
          <w:sz w:val="24"/>
          <w:szCs w:val="24"/>
          <w:lang w:val="en-US"/>
        </w:rPr>
        <w:t xml:space="preserve">Subsequently, the tooth was repositioned into the alveolar socket.  For postoperative splinting a fixed orthodontic appliance was bonded with H4 passive </w:t>
      </w:r>
      <w:proofErr w:type="spellStart"/>
      <w:r w:rsidRPr="008523C3">
        <w:rPr>
          <w:rFonts w:ascii="Times New Roman" w:hAnsi="Times New Roman" w:cs="Times New Roman"/>
          <w:color w:val="000000" w:themeColor="text1"/>
          <w:sz w:val="24"/>
          <w:szCs w:val="24"/>
          <w:lang w:val="en-US"/>
        </w:rPr>
        <w:t>self ligating</w:t>
      </w:r>
      <w:proofErr w:type="spellEnd"/>
      <w:r w:rsidRPr="008523C3">
        <w:rPr>
          <w:rFonts w:ascii="Times New Roman" w:hAnsi="Times New Roman" w:cs="Times New Roman"/>
          <w:color w:val="000000" w:themeColor="text1"/>
          <w:sz w:val="24"/>
          <w:szCs w:val="24"/>
          <w:lang w:val="en-US"/>
        </w:rPr>
        <w:t xml:space="preserve"> brackets (UL3-UR3 </w:t>
      </w:r>
      <w:proofErr w:type="spellStart"/>
      <w:r w:rsidRPr="008523C3">
        <w:rPr>
          <w:rFonts w:ascii="Times New Roman" w:hAnsi="Times New Roman" w:cs="Times New Roman"/>
          <w:color w:val="000000" w:themeColor="text1"/>
          <w:sz w:val="24"/>
          <w:szCs w:val="24"/>
          <w:lang w:val="en-US"/>
        </w:rPr>
        <w:t>OrthoClassic</w:t>
      </w:r>
      <w:proofErr w:type="spellEnd"/>
      <w:r w:rsidRPr="008523C3">
        <w:rPr>
          <w:rFonts w:ascii="Times New Roman" w:hAnsi="Times New Roman" w:cs="Times New Roman"/>
          <w:color w:val="000000" w:themeColor="text1"/>
          <w:sz w:val="24"/>
          <w:szCs w:val="24"/>
          <w:lang w:val="en-US"/>
        </w:rPr>
        <w:t xml:space="preserve">) with double </w:t>
      </w:r>
      <w:proofErr w:type="spellStart"/>
      <w:r w:rsidRPr="008523C3">
        <w:rPr>
          <w:rFonts w:ascii="Times New Roman" w:hAnsi="Times New Roman" w:cs="Times New Roman"/>
          <w:color w:val="000000" w:themeColor="text1"/>
          <w:sz w:val="24"/>
          <w:szCs w:val="24"/>
          <w:lang w:val="en-US"/>
        </w:rPr>
        <w:t>archwire</w:t>
      </w:r>
      <w:proofErr w:type="spellEnd"/>
      <w:r w:rsidRPr="008523C3">
        <w:rPr>
          <w:rFonts w:ascii="Times New Roman" w:hAnsi="Times New Roman" w:cs="Times New Roman"/>
          <w:color w:val="000000" w:themeColor="text1"/>
          <w:sz w:val="24"/>
          <w:szCs w:val="24"/>
          <w:lang w:val="en-US"/>
        </w:rPr>
        <w:t xml:space="preserve"> (16x22 stainless steel, 014 </w:t>
      </w:r>
      <w:proofErr w:type="spellStart"/>
      <w:r w:rsidRPr="008523C3">
        <w:rPr>
          <w:rFonts w:ascii="Times New Roman" w:hAnsi="Times New Roman" w:cs="Times New Roman"/>
          <w:color w:val="000000" w:themeColor="text1"/>
          <w:sz w:val="24"/>
          <w:szCs w:val="24"/>
          <w:lang w:val="en-US"/>
        </w:rPr>
        <w:t>NiTinol</w:t>
      </w:r>
      <w:proofErr w:type="spellEnd"/>
      <w:r w:rsidRPr="008523C3">
        <w:rPr>
          <w:rFonts w:ascii="Times New Roman" w:hAnsi="Times New Roman" w:cs="Times New Roman"/>
          <w:color w:val="000000" w:themeColor="text1"/>
          <w:sz w:val="24"/>
          <w:szCs w:val="24"/>
          <w:lang w:val="en-US"/>
        </w:rPr>
        <w:t>) for extended stabilization. During the healing period the patient was enrolled into supportive periodontal therapy.</w:t>
      </w:r>
    </w:p>
    <w:p w:rsidR="008523C3" w:rsidRPr="008523C3" w:rsidRDefault="008523C3" w:rsidP="008523C3">
      <w:pPr>
        <w:jc w:val="both"/>
        <w:rPr>
          <w:rFonts w:ascii="Times New Roman" w:hAnsi="Times New Roman" w:cs="Times New Roman"/>
          <w:color w:val="000000" w:themeColor="text1"/>
          <w:sz w:val="24"/>
          <w:szCs w:val="24"/>
          <w:u w:val="single"/>
          <w:lang w:val="en-US"/>
        </w:rPr>
      </w:pPr>
      <w:r w:rsidRPr="008523C3">
        <w:rPr>
          <w:rFonts w:ascii="Times New Roman" w:hAnsi="Times New Roman" w:cs="Times New Roman"/>
          <w:color w:val="000000" w:themeColor="text1"/>
          <w:sz w:val="24"/>
          <w:szCs w:val="24"/>
          <w:u w:val="single"/>
          <w:lang w:val="en-US"/>
        </w:rPr>
        <w:t>Results and conclusion</w:t>
      </w:r>
    </w:p>
    <w:p w:rsidR="008523C3" w:rsidRPr="008523C3" w:rsidRDefault="008523C3" w:rsidP="008523C3">
      <w:pPr>
        <w:jc w:val="both"/>
        <w:rPr>
          <w:rFonts w:ascii="Times New Roman" w:hAnsi="Times New Roman" w:cs="Times New Roman"/>
          <w:sz w:val="24"/>
          <w:szCs w:val="24"/>
          <w:lang w:val="en-US"/>
        </w:rPr>
      </w:pPr>
      <w:r w:rsidRPr="008523C3">
        <w:rPr>
          <w:rFonts w:ascii="Times New Roman" w:hAnsi="Times New Roman" w:cs="Times New Roman"/>
          <w:color w:val="000000" w:themeColor="text1"/>
          <w:sz w:val="24"/>
          <w:szCs w:val="24"/>
          <w:lang w:val="en-US"/>
        </w:rPr>
        <w:t xml:space="preserve">The healing was uneventful. Clinical re-evaluation was performed 12 months postoperatively. No residual pocket was found at tooth Nr. 11. Moreover, no sign of inflammation (bleeding on probing) or compromised healing (ankylosis or resorption) was detected clinically and radiographically. 4 mm gingival recession occurred during healing. This procedure proved to be successful, thus replantation in combination with a modified alveolar ridge preservation </w:t>
      </w:r>
      <w:r w:rsidRPr="008523C3">
        <w:rPr>
          <w:rFonts w:ascii="Times New Roman" w:hAnsi="Times New Roman" w:cs="Times New Roman"/>
          <w:sz w:val="24"/>
          <w:szCs w:val="24"/>
          <w:lang w:val="en-US"/>
        </w:rPr>
        <w:t xml:space="preserve">may be an alternative for removal of teeth with a periodontally hopeless prognosis. </w:t>
      </w:r>
    </w:p>
    <w:p w:rsidR="008523C3" w:rsidRDefault="008523C3" w:rsidP="008523C3">
      <w:pPr>
        <w:jc w:val="both"/>
        <w:rPr>
          <w:rFonts w:ascii="Times New Roman" w:hAnsi="Times New Roman" w:cs="Times New Roman"/>
          <w:sz w:val="24"/>
          <w:szCs w:val="24"/>
          <w:lang w:val="en-US"/>
        </w:rPr>
      </w:pPr>
    </w:p>
    <w:p w:rsidR="008523C3" w:rsidRDefault="008523C3" w:rsidP="008523C3">
      <w:pPr>
        <w:jc w:val="both"/>
        <w:rPr>
          <w:rFonts w:ascii="Times New Roman" w:hAnsi="Times New Roman" w:cs="Times New Roman"/>
          <w:sz w:val="24"/>
          <w:szCs w:val="24"/>
          <w:lang w:val="en-US"/>
        </w:rPr>
      </w:pPr>
    </w:p>
    <w:p w:rsidR="008523C3" w:rsidRDefault="008523C3" w:rsidP="008523C3">
      <w:pPr>
        <w:jc w:val="both"/>
        <w:rPr>
          <w:rFonts w:ascii="Times New Roman" w:hAnsi="Times New Roman" w:cs="Times New Roman"/>
          <w:sz w:val="24"/>
          <w:szCs w:val="24"/>
          <w:lang w:val="en-US"/>
        </w:rPr>
      </w:pPr>
    </w:p>
    <w:p w:rsidR="008523C3" w:rsidRDefault="008523C3" w:rsidP="008523C3">
      <w:pPr>
        <w:jc w:val="both"/>
        <w:rPr>
          <w:rFonts w:ascii="Times New Roman" w:hAnsi="Times New Roman" w:cs="Times New Roman"/>
          <w:sz w:val="24"/>
          <w:szCs w:val="24"/>
          <w:lang w:val="en-US"/>
        </w:rPr>
      </w:pPr>
    </w:p>
    <w:p w:rsidR="008523C3" w:rsidRPr="008523C3" w:rsidRDefault="008523C3" w:rsidP="008523C3">
      <w:pPr>
        <w:jc w:val="both"/>
        <w:rPr>
          <w:rFonts w:ascii="Times New Roman" w:hAnsi="Times New Roman" w:cs="Times New Roman"/>
          <w:sz w:val="24"/>
          <w:szCs w:val="24"/>
          <w:lang w:val="en-US"/>
        </w:rPr>
      </w:pPr>
      <w:bookmarkStart w:id="0" w:name="_GoBack"/>
      <w:bookmarkEnd w:id="0"/>
    </w:p>
    <w:p w:rsidR="007A2E40" w:rsidRPr="008523C3" w:rsidRDefault="008523C3">
      <w:pPr>
        <w:rPr>
          <w:rFonts w:ascii="Times New Roman" w:hAnsi="Times New Roman" w:cs="Times New Roman"/>
          <w:b/>
          <w:sz w:val="24"/>
          <w:szCs w:val="24"/>
        </w:rPr>
      </w:pPr>
      <w:r w:rsidRPr="008523C3">
        <w:rPr>
          <w:rFonts w:ascii="Times New Roman" w:hAnsi="Times New Roman" w:cs="Times New Roman"/>
          <w:b/>
          <w:sz w:val="24"/>
          <w:szCs w:val="24"/>
        </w:rPr>
        <w:t xml:space="preserve">5. </w:t>
      </w:r>
      <w:r w:rsidRPr="008523C3">
        <w:rPr>
          <w:rFonts w:ascii="Times New Roman" w:hAnsi="Times New Roman" w:cs="Times New Roman"/>
          <w:b/>
          <w:sz w:val="24"/>
          <w:szCs w:val="24"/>
          <w:lang w:val="hu-HU"/>
        </w:rPr>
        <w:t>Előadások, p</w:t>
      </w:r>
      <w:r w:rsidRPr="008523C3">
        <w:rPr>
          <w:rFonts w:ascii="Times New Roman" w:hAnsi="Times New Roman" w:cs="Times New Roman"/>
          <w:b/>
          <w:sz w:val="24"/>
          <w:szCs w:val="24"/>
        </w:rPr>
        <w:t>ublikációs lista:</w:t>
      </w:r>
    </w:p>
    <w:p w:rsidR="008523C3" w:rsidRPr="008523C3" w:rsidRDefault="008523C3" w:rsidP="008523C3">
      <w:pPr>
        <w:rPr>
          <w:rFonts w:ascii="Times New Roman" w:hAnsi="Times New Roman" w:cs="Times New Roman"/>
          <w:sz w:val="24"/>
          <w:szCs w:val="24"/>
        </w:rPr>
      </w:pPr>
    </w:p>
    <w:p w:rsidR="008523C3" w:rsidRPr="008523C3" w:rsidRDefault="008523C3" w:rsidP="008523C3">
      <w:pPr>
        <w:rPr>
          <w:rFonts w:ascii="Times New Roman" w:hAnsi="Times New Roman" w:cs="Times New Roman"/>
          <w:sz w:val="24"/>
          <w:szCs w:val="24"/>
        </w:rPr>
      </w:pPr>
      <w:r w:rsidRPr="008523C3">
        <w:rPr>
          <w:rFonts w:ascii="Times New Roman" w:hAnsi="Times New Roman" w:cs="Times New Roman"/>
          <w:sz w:val="24"/>
          <w:szCs w:val="24"/>
        </w:rPr>
        <w:t>2014. március: első-szerzős tudományos előadás: „Szöveti expanderek alkalmazása a modern orális rehabilitációban” XXI. Tudományos Diákköri Konferencia, Marosvásárhely, Románia</w:t>
      </w:r>
    </w:p>
    <w:p w:rsidR="008523C3" w:rsidRPr="008523C3" w:rsidRDefault="008523C3" w:rsidP="008523C3">
      <w:pPr>
        <w:ind w:left="700"/>
        <w:rPr>
          <w:rFonts w:ascii="Times New Roman" w:hAnsi="Times New Roman" w:cs="Times New Roman"/>
          <w:sz w:val="24"/>
          <w:szCs w:val="24"/>
        </w:rPr>
      </w:pPr>
    </w:p>
    <w:p w:rsidR="008523C3" w:rsidRPr="008523C3" w:rsidRDefault="008523C3" w:rsidP="008523C3">
      <w:pPr>
        <w:rPr>
          <w:rFonts w:ascii="Times New Roman" w:hAnsi="Times New Roman" w:cs="Times New Roman"/>
          <w:sz w:val="24"/>
          <w:szCs w:val="24"/>
        </w:rPr>
      </w:pPr>
      <w:r w:rsidRPr="008523C3">
        <w:rPr>
          <w:rFonts w:ascii="Times New Roman" w:hAnsi="Times New Roman" w:cs="Times New Roman"/>
          <w:sz w:val="24"/>
          <w:szCs w:val="24"/>
        </w:rPr>
        <w:t>2014. április: Tudományos Diákköri Konferencia-első szerzős előadás: „Szöveti expanderek alkalmazása a modern orális rehabilitációban” Fogorvostudományi Szekció, Szeged</w:t>
      </w:r>
    </w:p>
    <w:p w:rsidR="008523C3" w:rsidRPr="008523C3" w:rsidRDefault="008523C3" w:rsidP="008523C3">
      <w:pPr>
        <w:rPr>
          <w:rFonts w:ascii="Times New Roman" w:hAnsi="Times New Roman" w:cs="Times New Roman"/>
          <w:sz w:val="24"/>
          <w:szCs w:val="24"/>
        </w:rPr>
      </w:pPr>
    </w:p>
    <w:p w:rsidR="008523C3" w:rsidRPr="008523C3" w:rsidRDefault="008523C3" w:rsidP="008523C3">
      <w:pPr>
        <w:jc w:val="both"/>
        <w:outlineLvl w:val="0"/>
        <w:rPr>
          <w:rFonts w:ascii="Times New Roman" w:hAnsi="Times New Roman" w:cs="Times New Roman"/>
          <w:sz w:val="24"/>
          <w:szCs w:val="24"/>
        </w:rPr>
      </w:pPr>
      <w:r w:rsidRPr="008523C3">
        <w:rPr>
          <w:rFonts w:ascii="Times New Roman" w:hAnsi="Times New Roman" w:cs="Times New Roman"/>
          <w:sz w:val="24"/>
          <w:szCs w:val="24"/>
        </w:rPr>
        <w:t xml:space="preserve">publikáció folyamatban: </w:t>
      </w:r>
    </w:p>
    <w:p w:rsidR="008523C3" w:rsidRPr="008523C3" w:rsidRDefault="008523C3" w:rsidP="008523C3">
      <w:pPr>
        <w:jc w:val="both"/>
        <w:outlineLvl w:val="0"/>
        <w:rPr>
          <w:rFonts w:ascii="Times New Roman" w:hAnsi="Times New Roman" w:cs="Times New Roman"/>
          <w:sz w:val="24"/>
          <w:szCs w:val="24"/>
        </w:rPr>
      </w:pPr>
    </w:p>
    <w:p w:rsidR="008523C3" w:rsidRPr="008523C3" w:rsidRDefault="008523C3" w:rsidP="008523C3">
      <w:pPr>
        <w:jc w:val="both"/>
        <w:outlineLvl w:val="0"/>
        <w:rPr>
          <w:rFonts w:ascii="Times New Roman" w:hAnsi="Times New Roman" w:cs="Times New Roman"/>
          <w:b/>
          <w:bCs/>
          <w:i/>
          <w:iCs/>
          <w:sz w:val="24"/>
          <w:szCs w:val="24"/>
          <w:lang w:val="en-US"/>
        </w:rPr>
      </w:pPr>
      <w:r w:rsidRPr="008523C3">
        <w:rPr>
          <w:rFonts w:ascii="Times New Roman" w:hAnsi="Times New Roman" w:cs="Times New Roman"/>
          <w:b/>
          <w:bCs/>
          <w:i/>
          <w:iCs/>
          <w:sz w:val="24"/>
          <w:szCs w:val="24"/>
          <w:lang w:val="en-US"/>
        </w:rPr>
        <w:t>A novel technique to monitor graft incorporation in human gingiva</w:t>
      </w:r>
    </w:p>
    <w:p w:rsidR="008523C3" w:rsidRPr="008523C3" w:rsidRDefault="008523C3" w:rsidP="008523C3">
      <w:pPr>
        <w:autoSpaceDE w:val="0"/>
        <w:autoSpaceDN w:val="0"/>
        <w:adjustRightInd w:val="0"/>
        <w:spacing w:line="400" w:lineRule="atLeast"/>
        <w:outlineLvl w:val="0"/>
        <w:rPr>
          <w:rFonts w:ascii="Times New Roman" w:hAnsi="Times New Roman" w:cs="Times New Roman"/>
          <w:sz w:val="24"/>
          <w:szCs w:val="24"/>
          <w:lang w:val="en-GB"/>
        </w:rPr>
      </w:pPr>
      <w:r w:rsidRPr="008523C3">
        <w:rPr>
          <w:rFonts w:ascii="Times New Roman" w:hAnsi="Times New Roman" w:cs="Times New Roman"/>
          <w:sz w:val="24"/>
          <w:szCs w:val="24"/>
          <w:lang w:val="en-GB"/>
        </w:rPr>
        <w:t>Fazekas</w:t>
      </w:r>
      <w:r w:rsidRPr="008523C3">
        <w:rPr>
          <w:rFonts w:ascii="Times New Roman" w:hAnsi="Times New Roman" w:cs="Times New Roman"/>
          <w:sz w:val="24"/>
          <w:szCs w:val="24"/>
          <w:lang w:val="en-GB"/>
        </w:rPr>
        <w:t xml:space="preserve"> R.</w:t>
      </w:r>
      <w:r w:rsidRPr="008523C3">
        <w:rPr>
          <w:rFonts w:ascii="Times New Roman" w:hAnsi="Times New Roman" w:cs="Times New Roman"/>
          <w:sz w:val="24"/>
          <w:szCs w:val="24"/>
          <w:lang w:val="en-GB"/>
        </w:rPr>
        <w:t xml:space="preserve">, </w:t>
      </w:r>
      <w:proofErr w:type="spellStart"/>
      <w:r w:rsidRPr="008523C3">
        <w:rPr>
          <w:rFonts w:ascii="Times New Roman" w:hAnsi="Times New Roman" w:cs="Times New Roman"/>
          <w:sz w:val="24"/>
          <w:szCs w:val="24"/>
          <w:lang w:val="en-GB"/>
        </w:rPr>
        <w:t>Molnár</w:t>
      </w:r>
      <w:proofErr w:type="spellEnd"/>
      <w:r w:rsidRPr="008523C3">
        <w:rPr>
          <w:rFonts w:ascii="Times New Roman" w:hAnsi="Times New Roman" w:cs="Times New Roman"/>
          <w:sz w:val="24"/>
          <w:szCs w:val="24"/>
          <w:lang w:val="en-GB"/>
        </w:rPr>
        <w:t xml:space="preserve"> B, </w:t>
      </w:r>
      <w:proofErr w:type="spellStart"/>
      <w:r w:rsidRPr="008523C3">
        <w:rPr>
          <w:rFonts w:ascii="Times New Roman" w:hAnsi="Times New Roman" w:cs="Times New Roman"/>
          <w:sz w:val="24"/>
          <w:szCs w:val="24"/>
          <w:lang w:val="en-GB"/>
        </w:rPr>
        <w:t>Kőhidai</w:t>
      </w:r>
      <w:proofErr w:type="spellEnd"/>
      <w:r w:rsidRPr="008523C3">
        <w:rPr>
          <w:rFonts w:ascii="Times New Roman" w:hAnsi="Times New Roman" w:cs="Times New Roman"/>
          <w:sz w:val="24"/>
          <w:szCs w:val="24"/>
          <w:lang w:val="en-GB"/>
        </w:rPr>
        <w:t xml:space="preserve"> L.</w:t>
      </w:r>
      <w:r w:rsidRPr="008523C3">
        <w:rPr>
          <w:rFonts w:ascii="Times New Roman" w:hAnsi="Times New Roman" w:cs="Times New Roman"/>
          <w:sz w:val="24"/>
          <w:szCs w:val="24"/>
          <w:lang w:val="en-GB"/>
        </w:rPr>
        <w:t xml:space="preserve">, </w:t>
      </w:r>
      <w:proofErr w:type="spellStart"/>
      <w:r w:rsidRPr="008523C3">
        <w:rPr>
          <w:rFonts w:ascii="Times New Roman" w:hAnsi="Times New Roman" w:cs="Times New Roman"/>
          <w:sz w:val="24"/>
          <w:szCs w:val="24"/>
          <w:lang w:val="en-GB"/>
        </w:rPr>
        <w:t>Láng</w:t>
      </w:r>
      <w:proofErr w:type="spellEnd"/>
      <w:r w:rsidRPr="008523C3">
        <w:rPr>
          <w:rFonts w:ascii="Times New Roman" w:hAnsi="Times New Roman" w:cs="Times New Roman"/>
          <w:sz w:val="24"/>
          <w:szCs w:val="24"/>
          <w:lang w:val="en-GB"/>
        </w:rPr>
        <w:t xml:space="preserve"> O.</w:t>
      </w:r>
      <w:r w:rsidRPr="008523C3">
        <w:rPr>
          <w:rFonts w:ascii="Times New Roman" w:hAnsi="Times New Roman" w:cs="Times New Roman"/>
          <w:sz w:val="24"/>
          <w:szCs w:val="24"/>
          <w:lang w:val="en-GB"/>
        </w:rPr>
        <w:t xml:space="preserve">, </w:t>
      </w:r>
      <w:proofErr w:type="spellStart"/>
      <w:r w:rsidRPr="008523C3">
        <w:rPr>
          <w:rFonts w:ascii="Times New Roman" w:hAnsi="Times New Roman" w:cs="Times New Roman"/>
          <w:sz w:val="24"/>
          <w:szCs w:val="24"/>
          <w:lang w:val="en-GB"/>
        </w:rPr>
        <w:t>Molnár</w:t>
      </w:r>
      <w:proofErr w:type="spellEnd"/>
      <w:r w:rsidRPr="008523C3">
        <w:rPr>
          <w:rFonts w:ascii="Times New Roman" w:hAnsi="Times New Roman" w:cs="Times New Roman"/>
          <w:sz w:val="24"/>
          <w:szCs w:val="24"/>
          <w:lang w:val="en-GB"/>
        </w:rPr>
        <w:t xml:space="preserve"> E, </w:t>
      </w:r>
      <w:proofErr w:type="spellStart"/>
      <w:r w:rsidRPr="008523C3">
        <w:rPr>
          <w:rFonts w:ascii="Times New Roman" w:hAnsi="Times New Roman" w:cs="Times New Roman"/>
          <w:sz w:val="24"/>
          <w:szCs w:val="24"/>
          <w:lang w:val="en-GB"/>
        </w:rPr>
        <w:t>Gánti</w:t>
      </w:r>
      <w:proofErr w:type="spellEnd"/>
      <w:r w:rsidRPr="008523C3">
        <w:rPr>
          <w:rFonts w:ascii="Times New Roman" w:hAnsi="Times New Roman" w:cs="Times New Roman"/>
          <w:sz w:val="24"/>
          <w:szCs w:val="24"/>
          <w:lang w:val="en-GB"/>
        </w:rPr>
        <w:t xml:space="preserve"> B.</w:t>
      </w:r>
      <w:r w:rsidRPr="008523C3">
        <w:rPr>
          <w:rFonts w:ascii="Times New Roman" w:hAnsi="Times New Roman" w:cs="Times New Roman"/>
          <w:sz w:val="24"/>
          <w:szCs w:val="24"/>
          <w:lang w:val="en-GB"/>
        </w:rPr>
        <w:t xml:space="preserve">, </w:t>
      </w:r>
      <w:proofErr w:type="spellStart"/>
      <w:r w:rsidRPr="008523C3">
        <w:rPr>
          <w:rFonts w:ascii="Times New Roman" w:hAnsi="Times New Roman" w:cs="Times New Roman"/>
          <w:sz w:val="24"/>
          <w:szCs w:val="24"/>
          <w:lang w:val="en-GB"/>
        </w:rPr>
        <w:t>Michailovits</w:t>
      </w:r>
      <w:proofErr w:type="spellEnd"/>
      <w:r w:rsidRPr="008523C3">
        <w:rPr>
          <w:rFonts w:ascii="Times New Roman" w:hAnsi="Times New Roman" w:cs="Times New Roman"/>
          <w:sz w:val="24"/>
          <w:szCs w:val="24"/>
          <w:lang w:val="en-GB"/>
        </w:rPr>
        <w:t xml:space="preserve"> G.</w:t>
      </w:r>
      <w:r w:rsidRPr="008523C3">
        <w:rPr>
          <w:rFonts w:ascii="Times New Roman" w:hAnsi="Times New Roman" w:cs="Times New Roman"/>
          <w:sz w:val="24"/>
          <w:szCs w:val="24"/>
          <w:lang w:val="en-GB"/>
        </w:rPr>
        <w:t xml:space="preserve">, </w:t>
      </w:r>
      <w:proofErr w:type="spellStart"/>
      <w:r w:rsidRPr="008523C3">
        <w:rPr>
          <w:rFonts w:ascii="Times New Roman" w:hAnsi="Times New Roman" w:cs="Times New Roman"/>
          <w:sz w:val="24"/>
          <w:szCs w:val="24"/>
          <w:lang w:val="en-GB"/>
        </w:rPr>
        <w:t>Windisch</w:t>
      </w:r>
      <w:proofErr w:type="spellEnd"/>
      <w:r w:rsidRPr="008523C3">
        <w:rPr>
          <w:rFonts w:ascii="Times New Roman" w:hAnsi="Times New Roman" w:cs="Times New Roman"/>
          <w:sz w:val="24"/>
          <w:szCs w:val="24"/>
          <w:lang w:val="en-GB"/>
        </w:rPr>
        <w:t xml:space="preserve"> P.</w:t>
      </w:r>
      <w:r w:rsidRPr="008523C3">
        <w:rPr>
          <w:rFonts w:ascii="Times New Roman" w:hAnsi="Times New Roman" w:cs="Times New Roman"/>
          <w:sz w:val="24"/>
          <w:szCs w:val="24"/>
          <w:lang w:val="en-GB"/>
        </w:rPr>
        <w:t xml:space="preserve">, </w:t>
      </w:r>
      <w:proofErr w:type="spellStart"/>
      <w:r w:rsidRPr="008523C3">
        <w:rPr>
          <w:rFonts w:ascii="Times New Roman" w:hAnsi="Times New Roman" w:cs="Times New Roman"/>
          <w:sz w:val="24"/>
          <w:szCs w:val="24"/>
          <w:lang w:val="en-GB"/>
        </w:rPr>
        <w:t>Vág</w:t>
      </w:r>
      <w:proofErr w:type="spellEnd"/>
      <w:r w:rsidRPr="008523C3">
        <w:rPr>
          <w:rFonts w:ascii="Times New Roman" w:hAnsi="Times New Roman" w:cs="Times New Roman"/>
          <w:sz w:val="24"/>
          <w:szCs w:val="24"/>
          <w:lang w:val="en-GB"/>
        </w:rPr>
        <w:t xml:space="preserve"> J.</w:t>
      </w:r>
    </w:p>
    <w:p w:rsidR="008523C3" w:rsidRPr="008523C3" w:rsidRDefault="008523C3" w:rsidP="008523C3">
      <w:pPr>
        <w:rPr>
          <w:rFonts w:ascii="Times New Roman" w:hAnsi="Times New Roman" w:cs="Times New Roman"/>
          <w:sz w:val="24"/>
          <w:szCs w:val="24"/>
        </w:rPr>
      </w:pPr>
    </w:p>
    <w:p w:rsidR="007A2E40" w:rsidRPr="008523C3" w:rsidRDefault="007A2E40" w:rsidP="008523C3">
      <w:pPr>
        <w:spacing w:line="240" w:lineRule="auto"/>
        <w:rPr>
          <w:rFonts w:ascii="Times New Roman" w:hAnsi="Times New Roman" w:cs="Times New Roman"/>
          <w:sz w:val="24"/>
          <w:szCs w:val="24"/>
        </w:rPr>
      </w:pPr>
    </w:p>
    <w:sectPr w:rsidR="007A2E40" w:rsidRPr="008523C3">
      <w:pgSz w:w="11909" w:h="16834"/>
      <w:pgMar w:top="1440" w:right="1440" w:bottom="1440" w:left="1440" w:header="0"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928B9"/>
    <w:multiLevelType w:val="hybridMultilevel"/>
    <w:tmpl w:val="C1765030"/>
    <w:lvl w:ilvl="0" w:tplc="040E0001">
      <w:start w:val="1"/>
      <w:numFmt w:val="bullet"/>
      <w:lvlText w:val=""/>
      <w:lvlJc w:val="left"/>
      <w:pPr>
        <w:ind w:left="1420" w:hanging="360"/>
      </w:pPr>
      <w:rPr>
        <w:rFonts w:ascii="Symbol" w:hAnsi="Symbol" w:hint="default"/>
      </w:rPr>
    </w:lvl>
    <w:lvl w:ilvl="1" w:tplc="040E0003" w:tentative="1">
      <w:start w:val="1"/>
      <w:numFmt w:val="bullet"/>
      <w:lvlText w:val="o"/>
      <w:lvlJc w:val="left"/>
      <w:pPr>
        <w:ind w:left="2140" w:hanging="360"/>
      </w:pPr>
      <w:rPr>
        <w:rFonts w:ascii="Courier New" w:hAnsi="Courier New" w:cs="Courier New" w:hint="default"/>
      </w:rPr>
    </w:lvl>
    <w:lvl w:ilvl="2" w:tplc="040E0005" w:tentative="1">
      <w:start w:val="1"/>
      <w:numFmt w:val="bullet"/>
      <w:lvlText w:val=""/>
      <w:lvlJc w:val="left"/>
      <w:pPr>
        <w:ind w:left="2860" w:hanging="360"/>
      </w:pPr>
      <w:rPr>
        <w:rFonts w:ascii="Wingdings" w:hAnsi="Wingdings" w:hint="default"/>
      </w:rPr>
    </w:lvl>
    <w:lvl w:ilvl="3" w:tplc="040E0001" w:tentative="1">
      <w:start w:val="1"/>
      <w:numFmt w:val="bullet"/>
      <w:lvlText w:val=""/>
      <w:lvlJc w:val="left"/>
      <w:pPr>
        <w:ind w:left="3580" w:hanging="360"/>
      </w:pPr>
      <w:rPr>
        <w:rFonts w:ascii="Symbol" w:hAnsi="Symbol" w:hint="default"/>
      </w:rPr>
    </w:lvl>
    <w:lvl w:ilvl="4" w:tplc="040E0003" w:tentative="1">
      <w:start w:val="1"/>
      <w:numFmt w:val="bullet"/>
      <w:lvlText w:val="o"/>
      <w:lvlJc w:val="left"/>
      <w:pPr>
        <w:ind w:left="4300" w:hanging="360"/>
      </w:pPr>
      <w:rPr>
        <w:rFonts w:ascii="Courier New" w:hAnsi="Courier New" w:cs="Courier New" w:hint="default"/>
      </w:rPr>
    </w:lvl>
    <w:lvl w:ilvl="5" w:tplc="040E0005" w:tentative="1">
      <w:start w:val="1"/>
      <w:numFmt w:val="bullet"/>
      <w:lvlText w:val=""/>
      <w:lvlJc w:val="left"/>
      <w:pPr>
        <w:ind w:left="5020" w:hanging="360"/>
      </w:pPr>
      <w:rPr>
        <w:rFonts w:ascii="Wingdings" w:hAnsi="Wingdings" w:hint="default"/>
      </w:rPr>
    </w:lvl>
    <w:lvl w:ilvl="6" w:tplc="040E0001" w:tentative="1">
      <w:start w:val="1"/>
      <w:numFmt w:val="bullet"/>
      <w:lvlText w:val=""/>
      <w:lvlJc w:val="left"/>
      <w:pPr>
        <w:ind w:left="5740" w:hanging="360"/>
      </w:pPr>
      <w:rPr>
        <w:rFonts w:ascii="Symbol" w:hAnsi="Symbol" w:hint="default"/>
      </w:rPr>
    </w:lvl>
    <w:lvl w:ilvl="7" w:tplc="040E0003" w:tentative="1">
      <w:start w:val="1"/>
      <w:numFmt w:val="bullet"/>
      <w:lvlText w:val="o"/>
      <w:lvlJc w:val="left"/>
      <w:pPr>
        <w:ind w:left="6460" w:hanging="360"/>
      </w:pPr>
      <w:rPr>
        <w:rFonts w:ascii="Courier New" w:hAnsi="Courier New" w:cs="Courier New" w:hint="default"/>
      </w:rPr>
    </w:lvl>
    <w:lvl w:ilvl="8" w:tplc="040E0005" w:tentative="1">
      <w:start w:val="1"/>
      <w:numFmt w:val="bullet"/>
      <w:lvlText w:val=""/>
      <w:lvlJc w:val="left"/>
      <w:pPr>
        <w:ind w:left="71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E40"/>
    <w:rsid w:val="007A2E40"/>
    <w:rsid w:val="008523C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D3E67"/>
  <w15:docId w15:val="{7983473E-EA82-4C96-A88E-885C093D5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eastAsia="hu-HU"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style>
  <w:style w:type="paragraph" w:styleId="Cmsor1">
    <w:name w:val="heading 1"/>
    <w:basedOn w:val="Norml"/>
    <w:next w:val="Norml"/>
    <w:uiPriority w:val="9"/>
    <w:qFormat/>
    <w:pPr>
      <w:keepNext/>
      <w:keepLines/>
      <w:spacing w:before="400" w:after="120"/>
      <w:contextualSpacing/>
      <w:outlineLvl w:val="0"/>
    </w:pPr>
    <w:rPr>
      <w:sz w:val="40"/>
      <w:szCs w:val="40"/>
    </w:rPr>
  </w:style>
  <w:style w:type="paragraph" w:styleId="Cmsor2">
    <w:name w:val="heading 2"/>
    <w:basedOn w:val="Norml"/>
    <w:next w:val="Norml"/>
    <w:uiPriority w:val="9"/>
    <w:semiHidden/>
    <w:unhideWhenUsed/>
    <w:qFormat/>
    <w:pPr>
      <w:keepNext/>
      <w:keepLines/>
      <w:spacing w:before="360" w:after="120"/>
      <w:contextualSpacing/>
      <w:outlineLvl w:val="1"/>
    </w:pPr>
    <w:rPr>
      <w:sz w:val="32"/>
      <w:szCs w:val="32"/>
    </w:rPr>
  </w:style>
  <w:style w:type="paragraph" w:styleId="Cmsor3">
    <w:name w:val="heading 3"/>
    <w:basedOn w:val="Norml"/>
    <w:next w:val="Norml"/>
    <w:uiPriority w:val="9"/>
    <w:semiHidden/>
    <w:unhideWhenUsed/>
    <w:qFormat/>
    <w:pPr>
      <w:keepNext/>
      <w:keepLines/>
      <w:spacing w:before="320" w:after="80"/>
      <w:contextualSpacing/>
      <w:outlineLvl w:val="2"/>
    </w:pPr>
    <w:rPr>
      <w:color w:val="434343"/>
      <w:sz w:val="28"/>
      <w:szCs w:val="28"/>
    </w:rPr>
  </w:style>
  <w:style w:type="paragraph" w:styleId="Cmsor4">
    <w:name w:val="heading 4"/>
    <w:basedOn w:val="Norml"/>
    <w:next w:val="Norml"/>
    <w:uiPriority w:val="9"/>
    <w:semiHidden/>
    <w:unhideWhenUsed/>
    <w:qFormat/>
    <w:pPr>
      <w:keepNext/>
      <w:keepLines/>
      <w:spacing w:before="280" w:after="80"/>
      <w:contextualSpacing/>
      <w:outlineLvl w:val="3"/>
    </w:pPr>
    <w:rPr>
      <w:color w:val="666666"/>
      <w:sz w:val="24"/>
      <w:szCs w:val="24"/>
    </w:rPr>
  </w:style>
  <w:style w:type="paragraph" w:styleId="Cmsor5">
    <w:name w:val="heading 5"/>
    <w:basedOn w:val="Norml"/>
    <w:next w:val="Norml"/>
    <w:uiPriority w:val="9"/>
    <w:semiHidden/>
    <w:unhideWhenUsed/>
    <w:qFormat/>
    <w:pPr>
      <w:keepNext/>
      <w:keepLines/>
      <w:spacing w:before="240" w:after="80"/>
      <w:contextualSpacing/>
      <w:outlineLvl w:val="4"/>
    </w:pPr>
    <w:rPr>
      <w:color w:val="666666"/>
    </w:rPr>
  </w:style>
  <w:style w:type="paragraph" w:styleId="Cmsor6">
    <w:name w:val="heading 6"/>
    <w:basedOn w:val="Norml"/>
    <w:next w:val="Norml"/>
    <w:uiPriority w:val="9"/>
    <w:semiHidden/>
    <w:unhideWhenUsed/>
    <w:qFormat/>
    <w:pPr>
      <w:keepNext/>
      <w:keepLines/>
      <w:spacing w:before="240" w:after="80"/>
      <w:contextualSpacing/>
      <w:outlineLvl w:val="5"/>
    </w:pPr>
    <w:rPr>
      <w:i/>
      <w:color w:val="66666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uiPriority w:val="10"/>
    <w:qFormat/>
    <w:pPr>
      <w:keepNext/>
      <w:keepLines/>
      <w:spacing w:after="60"/>
      <w:contextualSpacing/>
    </w:pPr>
    <w:rPr>
      <w:sz w:val="52"/>
      <w:szCs w:val="52"/>
    </w:rPr>
  </w:style>
  <w:style w:type="paragraph" w:styleId="Alcm">
    <w:name w:val="Subtitle"/>
    <w:basedOn w:val="Norml"/>
    <w:next w:val="Norml"/>
    <w:uiPriority w:val="11"/>
    <w:qFormat/>
    <w:pPr>
      <w:keepNext/>
      <w:keepLines/>
      <w:spacing w:after="320"/>
      <w:contextualSpacing/>
    </w:pPr>
    <w:rPr>
      <w:color w:val="666666"/>
      <w:sz w:val="30"/>
      <w:szCs w:val="30"/>
    </w:rPr>
  </w:style>
  <w:style w:type="paragraph" w:customStyle="1" w:styleId="p1">
    <w:name w:val="p1"/>
    <w:basedOn w:val="Norml"/>
    <w:rsid w:val="008523C3"/>
    <w:pPr>
      <w:pBdr>
        <w:top w:val="none" w:sz="0" w:space="0" w:color="auto"/>
        <w:left w:val="none" w:sz="0" w:space="0" w:color="auto"/>
        <w:bottom w:val="none" w:sz="0" w:space="0" w:color="auto"/>
        <w:right w:val="none" w:sz="0" w:space="0" w:color="auto"/>
        <w:between w:val="none" w:sz="0" w:space="0" w:color="auto"/>
      </w:pBdr>
      <w:spacing w:line="240" w:lineRule="auto"/>
    </w:pPr>
    <w:rPr>
      <w:rFonts w:ascii="Helvetica" w:eastAsiaTheme="minorHAnsi" w:hAnsi="Helvetica" w:cs="Times New Roman"/>
      <w:color w:val="auto"/>
      <w:sz w:val="18"/>
      <w:szCs w:val="18"/>
      <w:lang w:val="hu-HU"/>
    </w:rPr>
  </w:style>
  <w:style w:type="paragraph" w:styleId="Listaszerbekezds">
    <w:name w:val="List Paragraph"/>
    <w:basedOn w:val="Norml"/>
    <w:uiPriority w:val="34"/>
    <w:qFormat/>
    <w:rsid w:val="008523C3"/>
    <w:pPr>
      <w:pBdr>
        <w:top w:val="none" w:sz="0" w:space="0" w:color="auto"/>
        <w:left w:val="none" w:sz="0" w:space="0" w:color="auto"/>
        <w:bottom w:val="none" w:sz="0" w:space="0" w:color="auto"/>
        <w:right w:val="none" w:sz="0" w:space="0" w:color="auto"/>
        <w:between w:val="none" w:sz="0" w:space="0" w:color="auto"/>
      </w:pBdr>
      <w:spacing w:line="240" w:lineRule="auto"/>
      <w:ind w:left="720"/>
      <w:contextualSpacing/>
    </w:pPr>
    <w:rPr>
      <w:rFonts w:asciiTheme="minorHAnsi" w:eastAsiaTheme="minorHAnsi" w:hAnsiTheme="minorHAnsi" w:cstheme="minorBidi"/>
      <w:color w:val="auto"/>
      <w:sz w:val="24"/>
      <w:szCs w:val="24"/>
      <w:lang w:val="hu-H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404</Words>
  <Characters>2795</Characters>
  <Application>Microsoft Office Word</Application>
  <DocSecurity>0</DocSecurity>
  <Lines>23</Lines>
  <Paragraphs>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Complex Care</dc:creator>
  <cp:lastModifiedBy>compl</cp:lastModifiedBy>
  <cp:revision>2</cp:revision>
  <dcterms:created xsi:type="dcterms:W3CDTF">2018-11-08T20:00:00Z</dcterms:created>
  <dcterms:modified xsi:type="dcterms:W3CDTF">2018-11-08T20:00:00Z</dcterms:modified>
</cp:coreProperties>
</file>